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E1D97" w14:textId="4E5BE537" w:rsidR="006C7782" w:rsidRPr="006C7782" w:rsidRDefault="006C7782" w:rsidP="006C7782">
      <w:pPr>
        <w:rPr>
          <w:rFonts w:asciiTheme="minorEastAsia" w:eastAsiaTheme="minorEastAsia" w:hAnsiTheme="minorEastAsia"/>
          <w:b/>
          <w:bCs/>
          <w:sz w:val="28"/>
          <w:szCs w:val="28"/>
        </w:rPr>
      </w:pPr>
      <w:r w:rsidRPr="006C7782">
        <w:rPr>
          <w:rFonts w:asciiTheme="minorEastAsia" w:eastAsiaTheme="minorEastAsia" w:hAnsiTheme="minorEastAsia" w:hint="eastAsia"/>
          <w:b/>
          <w:bCs/>
          <w:sz w:val="28"/>
          <w:szCs w:val="28"/>
        </w:rPr>
        <w:t>Ephesians Discover Your Inheritance - Session Eight</w:t>
      </w:r>
    </w:p>
    <w:p w14:paraId="0DC22C75" w14:textId="25BA70D8" w:rsidR="006C7782" w:rsidRPr="006C7782" w:rsidRDefault="006C7782" w:rsidP="006C7782">
      <w:pPr>
        <w:rPr>
          <w:rFonts w:asciiTheme="minorEastAsia" w:eastAsiaTheme="minorEastAsia" w:hAnsiTheme="minorEastAsia"/>
          <w:b/>
          <w:bCs/>
          <w:sz w:val="28"/>
          <w:szCs w:val="28"/>
        </w:rPr>
      </w:pPr>
      <w:r w:rsidRPr="006C7782">
        <w:rPr>
          <w:rFonts w:asciiTheme="minorEastAsia" w:eastAsiaTheme="minorEastAsia" w:hAnsiTheme="minorEastAsia" w:hint="eastAsia"/>
          <w:b/>
          <w:bCs/>
          <w:sz w:val="28"/>
          <w:szCs w:val="28"/>
        </w:rPr>
        <w:t>探索你的承襲 - 第</w:t>
      </w:r>
      <w:r w:rsidR="00F4379E">
        <w:rPr>
          <w:rFonts w:asciiTheme="minorEastAsia" w:eastAsiaTheme="minorEastAsia" w:hAnsiTheme="minorEastAsia" w:hint="eastAsia"/>
          <w:b/>
          <w:bCs/>
          <w:sz w:val="28"/>
          <w:szCs w:val="28"/>
        </w:rPr>
        <w:t>八</w:t>
      </w:r>
      <w:r w:rsidRPr="006C7782">
        <w:rPr>
          <w:rFonts w:asciiTheme="minorEastAsia" w:eastAsiaTheme="minorEastAsia" w:hAnsiTheme="minorEastAsia" w:hint="eastAsia"/>
          <w:b/>
          <w:bCs/>
          <w:sz w:val="28"/>
          <w:szCs w:val="28"/>
        </w:rPr>
        <w:t>課</w:t>
      </w:r>
    </w:p>
    <w:p w14:paraId="4A862855" w14:textId="34C46101" w:rsidR="006C7782" w:rsidRPr="006C7782" w:rsidRDefault="006C7782" w:rsidP="00CE46DD">
      <w:pPr>
        <w:pStyle w:val="NormalWeb"/>
        <w:spacing w:before="0" w:beforeAutospacing="0" w:after="0" w:afterAutospacing="0"/>
        <w:rPr>
          <w:rFonts w:asciiTheme="minorEastAsia" w:eastAsiaTheme="minorEastAsia" w:hAnsiTheme="minorEastAsia"/>
          <w:b/>
          <w:bCs/>
          <w:color w:val="000000"/>
        </w:rPr>
      </w:pPr>
      <w:r w:rsidRPr="006C7782">
        <w:rPr>
          <w:rFonts w:asciiTheme="minorEastAsia" w:eastAsiaTheme="minorEastAsia" w:hAnsiTheme="minorEastAsia"/>
          <w:b/>
          <w:bCs/>
          <w:color w:val="000000"/>
        </w:rPr>
        <w:t>Put On the Whole Armor of God</w:t>
      </w:r>
    </w:p>
    <w:p w14:paraId="2FCC98F3" w14:textId="36753BDC" w:rsidR="004F62B1" w:rsidRPr="006C7782" w:rsidRDefault="004F62B1" w:rsidP="00CE46DD">
      <w:pPr>
        <w:pStyle w:val="NormalWeb"/>
        <w:spacing w:before="0" w:beforeAutospacing="0" w:after="0" w:afterAutospacing="0"/>
        <w:rPr>
          <w:rFonts w:asciiTheme="minorEastAsia" w:eastAsiaTheme="minorEastAsia" w:hAnsiTheme="minorEastAsia"/>
          <w:b/>
          <w:bCs/>
          <w:color w:val="000000"/>
        </w:rPr>
      </w:pPr>
      <w:r w:rsidRPr="006C7782">
        <w:rPr>
          <w:rFonts w:asciiTheme="minorEastAsia" w:eastAsiaTheme="minorEastAsia" w:hAnsiTheme="minorEastAsia"/>
          <w:b/>
          <w:bCs/>
          <w:color w:val="000000"/>
        </w:rPr>
        <w:t>穿上天主的全副武裝</w:t>
      </w:r>
    </w:p>
    <w:p w14:paraId="21CC5168" w14:textId="77777777" w:rsidR="006C7782" w:rsidRPr="006C7782" w:rsidRDefault="006C7782" w:rsidP="00CE46DD">
      <w:pPr>
        <w:pStyle w:val="NormalWeb"/>
        <w:spacing w:before="0" w:beforeAutospacing="0" w:after="0" w:afterAutospacing="0"/>
        <w:rPr>
          <w:rFonts w:asciiTheme="minorEastAsia" w:eastAsiaTheme="minorEastAsia" w:hAnsiTheme="minorEastAsia"/>
        </w:rPr>
      </w:pPr>
    </w:p>
    <w:p w14:paraId="57147DEA" w14:textId="77777777" w:rsidR="004F62B1" w:rsidRPr="006C7782" w:rsidRDefault="004F62B1" w:rsidP="00CE46DD">
      <w:pPr>
        <w:pStyle w:val="NormalWeb"/>
        <w:numPr>
          <w:ilvl w:val="0"/>
          <w:numId w:val="1"/>
        </w:numPr>
        <w:spacing w:before="0" w:beforeAutospacing="0" w:after="0" w:afterAutospacing="0"/>
        <w:ind w:left="360"/>
        <w:textAlignment w:val="baseline"/>
        <w:rPr>
          <w:rFonts w:asciiTheme="minorEastAsia" w:eastAsiaTheme="minorEastAsia" w:hAnsiTheme="minorEastAsia"/>
          <w:b/>
          <w:bCs/>
          <w:color w:val="000000"/>
        </w:rPr>
      </w:pPr>
      <w:r w:rsidRPr="006C7782">
        <w:rPr>
          <w:rFonts w:asciiTheme="minorEastAsia" w:eastAsiaTheme="minorEastAsia" w:hAnsiTheme="minorEastAsia"/>
          <w:b/>
          <w:bCs/>
          <w:color w:val="000000"/>
        </w:rPr>
        <w:t>Establishing the Context</w:t>
      </w:r>
    </w:p>
    <w:p w14:paraId="02B7E9B5" w14:textId="77777777" w:rsidR="00F051AA" w:rsidRPr="00F051AA" w:rsidRDefault="00F051AA" w:rsidP="00F051AA">
      <w:pPr>
        <w:jc w:val="both"/>
        <w:rPr>
          <w:rFonts w:asciiTheme="minorEastAsia" w:eastAsiaTheme="minorEastAsia" w:hAnsiTheme="minorEastAsia" w:hint="eastAsia"/>
          <w:color w:val="000000"/>
        </w:rPr>
      </w:pPr>
      <w:r w:rsidRPr="00F051AA">
        <w:rPr>
          <w:rFonts w:asciiTheme="minorEastAsia" w:eastAsiaTheme="minorEastAsia" w:hAnsiTheme="minorEastAsia" w:hint="eastAsia"/>
          <w:color w:val="000000"/>
        </w:rPr>
        <w:t>我們面臨一場屬靈的戰爭，為每個人的靈魂而戰。1976年，聖若望保祿二世教宗（當時是克拉科夫的總主教卡羅爾·沃伊蒂瓦）在訪問美國結束時說：</w:t>
      </w:r>
    </w:p>
    <w:p w14:paraId="648D76A7" w14:textId="77777777" w:rsidR="00F051AA" w:rsidRPr="00F051AA" w:rsidRDefault="00F051AA" w:rsidP="00F051AA">
      <w:pPr>
        <w:jc w:val="both"/>
        <w:rPr>
          <w:rFonts w:asciiTheme="minorEastAsia" w:eastAsiaTheme="minorEastAsia" w:hAnsiTheme="minorEastAsia" w:hint="eastAsia"/>
          <w:color w:val="000000"/>
        </w:rPr>
      </w:pPr>
      <w:r w:rsidRPr="00F051AA">
        <w:rPr>
          <w:rFonts w:asciiTheme="minorEastAsia" w:eastAsiaTheme="minorEastAsia" w:hAnsiTheme="minorEastAsia" w:hint="eastAsia"/>
          <w:color w:val="000000"/>
        </w:rPr>
        <w:t>「我們現在正面對人類歷史上最大的一次對抗。我認為美國社會或基督宗教社群的廣大圈子並沒有充分意識到這一點。我們現在面臨著教會與反教會、福音與反福音之間的最終對抗。這場對抗在天主的神聖護佑計劃中，它是整個教會，特別是波蘭教會，必須承擔的考驗。」</w:t>
      </w:r>
    </w:p>
    <w:p w14:paraId="77D1E60B" w14:textId="220DE3D3" w:rsidR="002B783B" w:rsidRDefault="00F051AA" w:rsidP="00F051AA">
      <w:pPr>
        <w:jc w:val="both"/>
        <w:rPr>
          <w:rFonts w:asciiTheme="minorEastAsia" w:eastAsiaTheme="minorEastAsia" w:hAnsiTheme="minorEastAsia"/>
          <w:color w:val="000000"/>
        </w:rPr>
      </w:pPr>
      <w:r w:rsidRPr="00F051AA">
        <w:rPr>
          <w:rFonts w:asciiTheme="minorEastAsia" w:eastAsiaTheme="minorEastAsia" w:hAnsiTheme="minorEastAsia" w:hint="eastAsia"/>
          <w:color w:val="000000"/>
        </w:rPr>
        <w:t>我們不能失去希望，因為我們的信心不僅依靠我們自己的力量，而是依靠天主。蘇拉努斯·凱西神父說得好：「在我看來，對天主的信心——謙遜的信心——幾乎沒有比這令靈魂的敵人更害怕的了。對天主的信心是祈禱的靈魂。」</w:t>
      </w:r>
    </w:p>
    <w:p w14:paraId="7EEB92AE" w14:textId="77777777" w:rsidR="00F051AA" w:rsidRPr="006C7782" w:rsidRDefault="00F051AA" w:rsidP="00F051AA">
      <w:pPr>
        <w:jc w:val="both"/>
        <w:rPr>
          <w:rFonts w:asciiTheme="minorEastAsia" w:eastAsiaTheme="minorEastAsia" w:hAnsiTheme="minorEastAsia"/>
          <w:lang w:val="en-US"/>
        </w:rPr>
      </w:pPr>
    </w:p>
    <w:p w14:paraId="4A732A88" w14:textId="77777777" w:rsidR="004F62B1" w:rsidRPr="006C7782" w:rsidRDefault="004F62B1" w:rsidP="00CE46DD">
      <w:pPr>
        <w:pStyle w:val="NormalWeb"/>
        <w:pBdr>
          <w:top w:val="single" w:sz="4" w:space="1" w:color="000000"/>
          <w:left w:val="single" w:sz="4" w:space="4" w:color="000000"/>
          <w:right w:val="single" w:sz="4" w:space="4" w:color="000000"/>
        </w:pBdr>
        <w:spacing w:before="0" w:beforeAutospacing="0" w:after="0" w:afterAutospacing="0"/>
        <w:jc w:val="both"/>
        <w:rPr>
          <w:rFonts w:asciiTheme="minorEastAsia" w:eastAsiaTheme="minorEastAsia" w:hAnsiTheme="minorEastAsia"/>
        </w:rPr>
      </w:pPr>
      <w:r w:rsidRPr="006C7782">
        <w:rPr>
          <w:rFonts w:asciiTheme="minorEastAsia" w:eastAsiaTheme="minorEastAsia" w:hAnsiTheme="minorEastAsia"/>
          <w:b/>
          <w:bCs/>
          <w:color w:val="000000"/>
        </w:rPr>
        <w:t>掌權者和大能者</w:t>
      </w:r>
    </w:p>
    <w:p w14:paraId="54DE0A34" w14:textId="77777777" w:rsidR="00F051AA" w:rsidRPr="00F051AA" w:rsidRDefault="00F051AA" w:rsidP="00F051AA">
      <w:pPr>
        <w:pStyle w:val="NormalWeb"/>
        <w:pBdr>
          <w:left w:val="single" w:sz="4" w:space="4" w:color="000000"/>
          <w:bottom w:val="single" w:sz="4" w:space="1" w:color="000000"/>
          <w:right w:val="single" w:sz="4" w:space="4" w:color="000000"/>
        </w:pBdr>
        <w:jc w:val="both"/>
        <w:rPr>
          <w:rFonts w:asciiTheme="minorEastAsia" w:eastAsiaTheme="minorEastAsia" w:hAnsiTheme="minorEastAsia" w:hint="eastAsia"/>
          <w:color w:val="000000"/>
        </w:rPr>
      </w:pPr>
      <w:r w:rsidRPr="00F051AA">
        <w:rPr>
          <w:rFonts w:asciiTheme="minorEastAsia" w:eastAsiaTheme="minorEastAsia" w:hAnsiTheme="minorEastAsia" w:hint="eastAsia"/>
          <w:color w:val="000000"/>
        </w:rPr>
        <w:t>在厄弗所這個城市，政府、商業和社會生活都圍繞著希臘女神阿耳忒彌斯的宇宙力量進行。她的神廟是古代世界的七大奇蹟之一，派遣使者到帝國各地增加對她的崇拜，並吸引朝聖者來到厄弗所這個戰略港口城市。此外，其他「有力」的神靈，如阿斯奇翁、卡塔斯奇翁、利克斯、特特拉克斯、達姆納梅紐斯和艾西亞的名字被刻在護身符上，戴在脖子上（這些護身符被稱為厄弗所咒語），以賦予力量、保護和帶來成功。</w:t>
      </w:r>
    </w:p>
    <w:p w14:paraId="376993C3" w14:textId="3A9184BC" w:rsidR="004F62B1" w:rsidRPr="006C7782" w:rsidRDefault="00F051AA" w:rsidP="00F051AA">
      <w:pPr>
        <w:pStyle w:val="NormalWeb"/>
        <w:pBdr>
          <w:left w:val="single" w:sz="4" w:space="4" w:color="000000"/>
          <w:bottom w:val="single" w:sz="4" w:space="1" w:color="000000"/>
          <w:right w:val="single" w:sz="4" w:space="4" w:color="000000"/>
        </w:pBdr>
        <w:spacing w:before="0" w:beforeAutospacing="0" w:after="0" w:afterAutospacing="0"/>
        <w:jc w:val="both"/>
        <w:rPr>
          <w:rFonts w:asciiTheme="minorEastAsia" w:eastAsiaTheme="minorEastAsia" w:hAnsiTheme="minorEastAsia"/>
        </w:rPr>
      </w:pPr>
      <w:r w:rsidRPr="00F051AA">
        <w:rPr>
          <w:rFonts w:asciiTheme="minorEastAsia" w:eastAsiaTheme="minorEastAsia" w:hAnsiTheme="minorEastAsia" w:hint="eastAsia"/>
          <w:color w:val="000000"/>
        </w:rPr>
        <w:t>聖保祿宣稱，基督超越任何地上的或靈界的權勢或統治者（見《厄弗所書》1:20-23）。他的追隨者也不會對抗那些控制他們城市並居住在羅馬帝國異教神廟中的惡勢力無能為力。天主的全副武裝保護和防禦他們，對抗「這黑暗世界的霸主」和對抗「天界裏邪惡的鬼神」。（見《厄弗所書》6:12）。事實上，《厄弗所書》6:12中使用的希臘詞</w:t>
      </w:r>
      <w:proofErr w:type="spellStart"/>
      <w:r w:rsidRPr="00F051AA">
        <w:rPr>
          <w:rFonts w:asciiTheme="minorEastAsia" w:eastAsiaTheme="minorEastAsia" w:hAnsiTheme="minorEastAsia" w:hint="eastAsia"/>
          <w:color w:val="000000"/>
        </w:rPr>
        <w:t>kosmokratores</w:t>
      </w:r>
      <w:proofErr w:type="spellEnd"/>
      <w:r w:rsidRPr="00F051AA">
        <w:rPr>
          <w:rFonts w:asciiTheme="minorEastAsia" w:eastAsiaTheme="minorEastAsia" w:hAnsiTheme="minorEastAsia" w:hint="eastAsia"/>
          <w:color w:val="000000"/>
        </w:rPr>
        <w:t>（意為“世界統治者”），在新約或希臘文舊約（即七十士譯本）中並未出現過，但在希臘紙莎草紙中指的是異教神靈赫利俄斯、拉、赫耳墨斯和塞拉皮斯。在猶太文獻中，這個詞也用來指占星術中的惡魔力量。所有這些都加強了猶太人和外邦人要堅定地留在天主家庭中的重要性，因為天父「在基督內，以各種屬神的祝福，祝福了我們」（見《厄弗所書》1:3）。</w:t>
      </w:r>
    </w:p>
    <w:p w14:paraId="68568238" w14:textId="77777777" w:rsidR="004F62B1" w:rsidRPr="006C7782" w:rsidRDefault="004F62B1" w:rsidP="00CE46DD">
      <w:pPr>
        <w:pStyle w:val="NormalWeb"/>
        <w:numPr>
          <w:ilvl w:val="0"/>
          <w:numId w:val="2"/>
        </w:numPr>
        <w:spacing w:before="0" w:beforeAutospacing="0" w:after="0" w:afterAutospacing="0"/>
        <w:ind w:left="349"/>
        <w:textAlignment w:val="baseline"/>
        <w:rPr>
          <w:rFonts w:asciiTheme="minorEastAsia" w:eastAsiaTheme="minorEastAsia" w:hAnsiTheme="minorEastAsia"/>
          <w:b/>
          <w:bCs/>
          <w:color w:val="000000"/>
        </w:rPr>
      </w:pPr>
      <w:r w:rsidRPr="006C7782">
        <w:rPr>
          <w:rFonts w:asciiTheme="minorEastAsia" w:eastAsiaTheme="minorEastAsia" w:hAnsiTheme="minorEastAsia"/>
          <w:b/>
          <w:bCs/>
          <w:color w:val="000000"/>
        </w:rPr>
        <w:t>閱讀本章</w:t>
      </w:r>
    </w:p>
    <w:p w14:paraId="59CE8B23" w14:textId="77777777" w:rsidR="004F62B1" w:rsidRDefault="004F62B1" w:rsidP="00CE46DD">
      <w:pPr>
        <w:pStyle w:val="NormalWeb"/>
        <w:spacing w:before="0" w:beforeAutospacing="0" w:after="0" w:afterAutospacing="0"/>
        <w:ind w:left="-11"/>
        <w:rPr>
          <w:rFonts w:asciiTheme="minorEastAsia" w:eastAsiaTheme="minorEastAsia" w:hAnsiTheme="minorEastAsia"/>
          <w:color w:val="000000"/>
        </w:rPr>
      </w:pPr>
      <w:r w:rsidRPr="006C7782">
        <w:rPr>
          <w:rFonts w:asciiTheme="minorEastAsia" w:eastAsiaTheme="minorEastAsia" w:hAnsiTheme="minorEastAsia"/>
          <w:color w:val="000000"/>
        </w:rPr>
        <w:t>讀《厄弗所書》6:10-24。讓我們先閱讀這段經文，以便了解</w:t>
      </w:r>
      <w:r w:rsidRPr="006C7782">
        <w:rPr>
          <w:rFonts w:asciiTheme="minorEastAsia" w:eastAsiaTheme="minorEastAsia" w:hAnsiTheme="minorEastAsia"/>
        </w:rPr>
        <w:t>上文下理</w:t>
      </w:r>
      <w:r w:rsidRPr="006C7782">
        <w:rPr>
          <w:rFonts w:asciiTheme="minorEastAsia" w:eastAsiaTheme="minorEastAsia" w:hAnsiTheme="minorEastAsia"/>
          <w:color w:val="000000"/>
        </w:rPr>
        <w:t>。然後我們會逐個</w:t>
      </w:r>
      <w:r w:rsidRPr="006C7782">
        <w:rPr>
          <w:rFonts w:asciiTheme="minorEastAsia" w:eastAsiaTheme="minorEastAsia" w:hAnsiTheme="minorEastAsia"/>
        </w:rPr>
        <w:t>問題回答，俾能深入理</w:t>
      </w:r>
      <w:r w:rsidRPr="006C7782">
        <w:rPr>
          <w:rFonts w:asciiTheme="minorEastAsia" w:eastAsiaTheme="minorEastAsia" w:hAnsiTheme="minorEastAsia"/>
          <w:color w:val="000000"/>
        </w:rPr>
        <w:t>解這些經文。</w:t>
      </w:r>
    </w:p>
    <w:p w14:paraId="747AF588" w14:textId="77777777" w:rsidR="00F03056" w:rsidRDefault="00F03056" w:rsidP="00CE46DD">
      <w:pPr>
        <w:pStyle w:val="NormalWeb"/>
        <w:spacing w:before="0" w:beforeAutospacing="0" w:after="0" w:afterAutospacing="0"/>
        <w:ind w:left="-11"/>
        <w:rPr>
          <w:rFonts w:asciiTheme="minorEastAsia" w:eastAsiaTheme="minorEastAsia" w:hAnsiTheme="minorEastAsia"/>
          <w:color w:val="000000"/>
        </w:rPr>
      </w:pPr>
    </w:p>
    <w:p w14:paraId="3458F10B" w14:textId="77777777" w:rsidR="00F03056" w:rsidRDefault="00F03056" w:rsidP="00CE46DD">
      <w:pPr>
        <w:pStyle w:val="NormalWeb"/>
        <w:spacing w:before="0" w:beforeAutospacing="0" w:after="0" w:afterAutospacing="0"/>
        <w:ind w:left="-11"/>
        <w:rPr>
          <w:rFonts w:asciiTheme="minorEastAsia" w:eastAsiaTheme="minorEastAsia" w:hAnsiTheme="minorEastAsia"/>
          <w:color w:val="000000"/>
        </w:rPr>
      </w:pPr>
    </w:p>
    <w:p w14:paraId="28A2E433" w14:textId="77777777" w:rsidR="00F03056" w:rsidRDefault="00F03056" w:rsidP="00CE46DD">
      <w:pPr>
        <w:pStyle w:val="NormalWeb"/>
        <w:spacing w:before="0" w:beforeAutospacing="0" w:after="0" w:afterAutospacing="0"/>
        <w:ind w:left="-11"/>
        <w:rPr>
          <w:rFonts w:asciiTheme="minorEastAsia" w:eastAsiaTheme="minorEastAsia" w:hAnsiTheme="minorEastAsia"/>
          <w:color w:val="000000"/>
        </w:rPr>
      </w:pPr>
    </w:p>
    <w:p w14:paraId="42431447" w14:textId="77777777" w:rsidR="00F03056" w:rsidRDefault="00F03056" w:rsidP="00CE46DD">
      <w:pPr>
        <w:pStyle w:val="NormalWeb"/>
        <w:spacing w:before="0" w:beforeAutospacing="0" w:after="0" w:afterAutospacing="0"/>
        <w:ind w:left="-11"/>
        <w:rPr>
          <w:rFonts w:asciiTheme="minorEastAsia" w:eastAsiaTheme="minorEastAsia" w:hAnsiTheme="minorEastAsia"/>
          <w:color w:val="000000"/>
        </w:rPr>
      </w:pPr>
    </w:p>
    <w:p w14:paraId="67D55395" w14:textId="77777777" w:rsidR="00F03056" w:rsidRPr="006C7782" w:rsidRDefault="00F03056" w:rsidP="00CE46DD">
      <w:pPr>
        <w:pStyle w:val="NormalWeb"/>
        <w:spacing w:before="0" w:beforeAutospacing="0" w:after="0" w:afterAutospacing="0"/>
        <w:ind w:left="-11"/>
        <w:rPr>
          <w:rFonts w:asciiTheme="minorEastAsia" w:eastAsiaTheme="minorEastAsia" w:hAnsiTheme="minorEastAsia"/>
          <w:color w:val="000000"/>
          <w:lang w:val="en-US"/>
        </w:rPr>
      </w:pPr>
    </w:p>
    <w:p w14:paraId="5953431D" w14:textId="77777777" w:rsidR="004F62B1" w:rsidRPr="006C7782" w:rsidRDefault="004F62B1" w:rsidP="00CE46DD">
      <w:pPr>
        <w:pStyle w:val="NormalWeb"/>
        <w:spacing w:before="0" w:beforeAutospacing="0" w:after="0" w:afterAutospacing="0"/>
        <w:rPr>
          <w:rFonts w:asciiTheme="minorEastAsia" w:eastAsiaTheme="minorEastAsia" w:hAnsiTheme="minorEastAsia"/>
        </w:rPr>
      </w:pPr>
      <w:r w:rsidRPr="006C7782">
        <w:rPr>
          <w:rFonts w:asciiTheme="minorEastAsia" w:eastAsiaTheme="minorEastAsia" w:hAnsiTheme="minorEastAsia"/>
          <w:b/>
          <w:bCs/>
          <w:color w:val="000000"/>
        </w:rPr>
        <w:t>c. 深入了解</w:t>
      </w:r>
    </w:p>
    <w:p w14:paraId="6A428FD1" w14:textId="77777777" w:rsidR="004F62B1" w:rsidRPr="006C7782" w:rsidRDefault="004F62B1" w:rsidP="00CE46DD">
      <w:pPr>
        <w:pStyle w:val="NormalWeb"/>
        <w:spacing w:before="0" w:beforeAutospacing="0" w:after="0" w:afterAutospacing="0"/>
        <w:jc w:val="both"/>
        <w:rPr>
          <w:rFonts w:asciiTheme="minorEastAsia" w:eastAsiaTheme="minorEastAsia" w:hAnsiTheme="minorEastAsia"/>
          <w:lang w:val="en-US"/>
        </w:rPr>
      </w:pPr>
      <w:r w:rsidRPr="006C7782">
        <w:rPr>
          <w:rFonts w:asciiTheme="minorEastAsia" w:eastAsiaTheme="minorEastAsia" w:hAnsiTheme="minorEastAsia"/>
          <w:color w:val="000000"/>
        </w:rPr>
        <w:t>解答以下題目</w:t>
      </w:r>
      <w:r w:rsidRPr="006C7782">
        <w:rPr>
          <w:rFonts w:asciiTheme="minorEastAsia" w:eastAsiaTheme="minorEastAsia" w:hAnsiTheme="minorEastAsia"/>
        </w:rPr>
        <w:t>，將引導你深入保祿書信中的核心訊息。如你不明白，請寫下並</w:t>
      </w:r>
      <w:r w:rsidRPr="006C7782">
        <w:rPr>
          <w:rFonts w:asciiTheme="minorEastAsia" w:eastAsiaTheme="minorEastAsia" w:hAnsiTheme="minorEastAsia"/>
          <w:color w:val="000000"/>
        </w:rPr>
        <w:t>提出討論。</w:t>
      </w:r>
    </w:p>
    <w:p w14:paraId="30F3BE9C" w14:textId="77777777" w:rsidR="00047BFC" w:rsidRPr="006C7782" w:rsidRDefault="00047BFC" w:rsidP="00047BFC">
      <w:pPr>
        <w:pStyle w:val="NormalWeb"/>
        <w:numPr>
          <w:ilvl w:val="0"/>
          <w:numId w:val="3"/>
        </w:numPr>
        <w:spacing w:before="0" w:beforeAutospacing="0" w:after="0" w:afterAutospacing="0"/>
        <w:jc w:val="both"/>
        <w:textAlignment w:val="baseline"/>
        <w:rPr>
          <w:rFonts w:asciiTheme="minorEastAsia" w:eastAsiaTheme="minorEastAsia" w:hAnsiTheme="minorEastAsia"/>
          <w:color w:val="000000"/>
        </w:rPr>
      </w:pPr>
      <w:r w:rsidRPr="006C7782">
        <w:rPr>
          <w:rFonts w:asciiTheme="minorEastAsia" w:eastAsiaTheme="minorEastAsia" w:hAnsiTheme="minorEastAsia"/>
          <w:color w:val="000000"/>
        </w:rPr>
        <w:t>The language of spiritual weaponry did not begin with Paul. He is drawing upon Old Testament imagery for the six pieces of armor (for examples, see Isaiah 11:5, 21:5, 49:2, 52:7, 59:17). Read Wisdom 5:17-20. What are the similarities or differences in language between Paul and the Old Testament author?</w:t>
      </w:r>
    </w:p>
    <w:p w14:paraId="16942E6D" w14:textId="045168A0" w:rsidR="004F62B1" w:rsidRPr="006C7782" w:rsidRDefault="004F62B1" w:rsidP="00047BFC">
      <w:pPr>
        <w:pStyle w:val="NormalWeb"/>
        <w:spacing w:before="0" w:beforeAutospacing="0" w:after="0" w:afterAutospacing="0"/>
        <w:ind w:left="720"/>
        <w:jc w:val="both"/>
        <w:textAlignment w:val="baseline"/>
        <w:rPr>
          <w:rFonts w:asciiTheme="minorEastAsia" w:eastAsiaTheme="minorEastAsia" w:hAnsiTheme="minorEastAsia"/>
          <w:color w:val="000000"/>
        </w:rPr>
      </w:pPr>
      <w:r w:rsidRPr="006C7782">
        <w:rPr>
          <w:rFonts w:asciiTheme="minorEastAsia" w:eastAsiaTheme="minorEastAsia" w:hAnsiTheme="minorEastAsia"/>
          <w:color w:val="000000"/>
        </w:rPr>
        <w:t>保</w:t>
      </w:r>
      <w:r w:rsidRPr="006C7782">
        <w:rPr>
          <w:rFonts w:asciiTheme="minorEastAsia" w:eastAsiaTheme="minorEastAsia" w:hAnsiTheme="minorEastAsia"/>
        </w:rPr>
        <w:t>祿的屬靈武器的用語並非首創。他借用了舊約中的圖像來描述六件盔甲（例如，見《依撒意亞</w:t>
      </w:r>
      <w:r w:rsidR="00893946" w:rsidRPr="006C7782">
        <w:rPr>
          <w:rFonts w:asciiTheme="minorEastAsia" w:eastAsiaTheme="minorEastAsia" w:hAnsiTheme="minorEastAsia" w:hint="eastAsia"/>
        </w:rPr>
        <w:t>先知</w:t>
      </w:r>
      <w:r w:rsidRPr="006C7782">
        <w:rPr>
          <w:rFonts w:asciiTheme="minorEastAsia" w:eastAsiaTheme="minorEastAsia" w:hAnsiTheme="minorEastAsia"/>
        </w:rPr>
        <w:t>書》11:5, 21:5, 49:2,</w:t>
      </w:r>
      <w:r w:rsidRPr="006C7782">
        <w:rPr>
          <w:rFonts w:asciiTheme="minorEastAsia" w:eastAsiaTheme="minorEastAsia" w:hAnsiTheme="minorEastAsia"/>
          <w:color w:val="000000"/>
        </w:rPr>
        <w:t xml:space="preserve"> 52:7, 59:17）。閱讀《智慧篇》5:17-20，並比較保祿與舊約作者在語言上的相似或不同之處。</w:t>
      </w:r>
    </w:p>
    <w:p w14:paraId="2F4569A0" w14:textId="77777777" w:rsidR="00F03056" w:rsidRDefault="00F03056" w:rsidP="00CE46DD">
      <w:pPr>
        <w:tabs>
          <w:tab w:val="num" w:pos="567"/>
        </w:tabs>
        <w:ind w:left="567" w:hanging="578"/>
        <w:jc w:val="both"/>
        <w:rPr>
          <w:rFonts w:asciiTheme="minorEastAsia" w:eastAsiaTheme="minorEastAsia" w:hAnsiTheme="minorEastAsia"/>
        </w:rPr>
      </w:pPr>
    </w:p>
    <w:p w14:paraId="4DC5DBD8" w14:textId="55080219" w:rsidR="004F62B1" w:rsidRPr="006C7782" w:rsidRDefault="004F62B1" w:rsidP="00CE46DD">
      <w:pPr>
        <w:tabs>
          <w:tab w:val="num" w:pos="567"/>
        </w:tabs>
        <w:ind w:left="567" w:hanging="578"/>
        <w:jc w:val="both"/>
        <w:rPr>
          <w:rFonts w:asciiTheme="minorEastAsia" w:eastAsiaTheme="minorEastAsia" w:hAnsiTheme="minorEastAsia"/>
        </w:rPr>
      </w:pPr>
      <w:r w:rsidRPr="006C7782">
        <w:rPr>
          <w:rFonts w:asciiTheme="minorEastAsia" w:eastAsiaTheme="minorEastAsia" w:hAnsiTheme="minorEastAsia"/>
        </w:rPr>
        <w:br/>
      </w:r>
    </w:p>
    <w:p w14:paraId="02EC28F3" w14:textId="77777777" w:rsidR="0099187B" w:rsidRPr="006C7782" w:rsidRDefault="0099187B" w:rsidP="0099187B">
      <w:pPr>
        <w:pStyle w:val="NormalWeb"/>
        <w:numPr>
          <w:ilvl w:val="0"/>
          <w:numId w:val="4"/>
        </w:numPr>
        <w:spacing w:before="0" w:beforeAutospacing="0" w:after="0" w:afterAutospacing="0"/>
        <w:ind w:left="567" w:hanging="578"/>
        <w:jc w:val="both"/>
        <w:textAlignment w:val="baseline"/>
        <w:rPr>
          <w:rFonts w:asciiTheme="minorEastAsia" w:eastAsiaTheme="minorEastAsia" w:hAnsiTheme="minorEastAsia"/>
          <w:color w:val="000000"/>
        </w:rPr>
      </w:pPr>
      <w:r w:rsidRPr="006C7782">
        <w:rPr>
          <w:rFonts w:asciiTheme="minorEastAsia" w:eastAsiaTheme="minorEastAsia" w:hAnsiTheme="minorEastAsia"/>
          <w:color w:val="000000"/>
        </w:rPr>
        <w:t>In Ephesians 6:12, Paul identifies the spiritual enemy of the family of God.</w:t>
      </w:r>
    </w:p>
    <w:p w14:paraId="3A8FDBEA" w14:textId="4677F483" w:rsidR="004F62B1" w:rsidRPr="006C7782" w:rsidRDefault="004F62B1" w:rsidP="0099187B">
      <w:pPr>
        <w:pStyle w:val="NormalWeb"/>
        <w:spacing w:before="0" w:beforeAutospacing="0" w:after="0" w:afterAutospacing="0"/>
        <w:ind w:left="567"/>
        <w:jc w:val="both"/>
        <w:textAlignment w:val="baseline"/>
        <w:rPr>
          <w:rFonts w:asciiTheme="minorEastAsia" w:eastAsiaTheme="minorEastAsia" w:hAnsiTheme="minorEastAsia"/>
          <w:color w:val="000000"/>
        </w:rPr>
      </w:pPr>
      <w:r w:rsidRPr="006C7782">
        <w:rPr>
          <w:rFonts w:asciiTheme="minorEastAsia" w:eastAsiaTheme="minorEastAsia" w:hAnsiTheme="minorEastAsia"/>
          <w:color w:val="000000"/>
        </w:rPr>
        <w:t>在《厄弗所書》6:12中，保祿識別了天主家庭</w:t>
      </w:r>
      <w:r w:rsidRPr="006C7782">
        <w:rPr>
          <w:rFonts w:asciiTheme="minorEastAsia" w:eastAsiaTheme="minorEastAsia" w:hAnsiTheme="minorEastAsia"/>
        </w:rPr>
        <w:t>的屬靈敵人</w:t>
      </w:r>
      <w:r w:rsidRPr="006C7782">
        <w:rPr>
          <w:rFonts w:asciiTheme="minorEastAsia" w:eastAsiaTheme="minorEastAsia" w:hAnsiTheme="minorEastAsia"/>
          <w:color w:val="000000"/>
        </w:rPr>
        <w:t>。</w:t>
      </w:r>
    </w:p>
    <w:p w14:paraId="1A36231C" w14:textId="025BF04A" w:rsidR="0099187B" w:rsidRPr="006C7782" w:rsidRDefault="0099187B" w:rsidP="0099187B">
      <w:pPr>
        <w:pStyle w:val="NormalWeb"/>
        <w:spacing w:before="0" w:beforeAutospacing="0" w:after="0" w:afterAutospacing="0"/>
        <w:ind w:left="567"/>
        <w:jc w:val="both"/>
        <w:textAlignment w:val="baseline"/>
        <w:rPr>
          <w:rFonts w:asciiTheme="minorEastAsia" w:eastAsiaTheme="minorEastAsia" w:hAnsiTheme="minorEastAsia"/>
          <w:color w:val="000000"/>
        </w:rPr>
      </w:pPr>
      <w:r w:rsidRPr="006C7782">
        <w:rPr>
          <w:rFonts w:asciiTheme="minorEastAsia" w:eastAsiaTheme="minorEastAsia" w:hAnsiTheme="minorEastAsia"/>
          <w:color w:val="000000"/>
        </w:rPr>
        <w:t>a. According to Paul, who is our real enemy?</w:t>
      </w:r>
    </w:p>
    <w:p w14:paraId="2B721CD6" w14:textId="4340273C" w:rsidR="004F62B1" w:rsidRPr="006C7782" w:rsidRDefault="004F62B1" w:rsidP="0099187B">
      <w:pPr>
        <w:pStyle w:val="NormalWeb"/>
        <w:spacing w:before="0" w:beforeAutospacing="0" w:after="0" w:afterAutospacing="0"/>
        <w:ind w:left="567"/>
        <w:jc w:val="both"/>
        <w:textAlignment w:val="baseline"/>
        <w:rPr>
          <w:rFonts w:asciiTheme="minorEastAsia" w:eastAsiaTheme="minorEastAsia" w:hAnsiTheme="minorEastAsia"/>
          <w:color w:val="000000"/>
        </w:rPr>
      </w:pPr>
      <w:r w:rsidRPr="006C7782">
        <w:rPr>
          <w:rFonts w:asciiTheme="minorEastAsia" w:eastAsiaTheme="minorEastAsia" w:hAnsiTheme="minorEastAsia"/>
          <w:color w:val="000000"/>
        </w:rPr>
        <w:t>根據保祿，我們真正的敵人是誰？</w:t>
      </w:r>
    </w:p>
    <w:p w14:paraId="0F2DF96C" w14:textId="71C668CB" w:rsidR="0099187B" w:rsidRPr="006C7782" w:rsidRDefault="0099187B" w:rsidP="0099187B">
      <w:pPr>
        <w:pStyle w:val="NormalWeb"/>
        <w:spacing w:before="0" w:beforeAutospacing="0" w:after="0" w:afterAutospacing="0"/>
        <w:ind w:left="567"/>
        <w:jc w:val="both"/>
        <w:textAlignment w:val="baseline"/>
        <w:rPr>
          <w:rFonts w:asciiTheme="minorEastAsia" w:eastAsiaTheme="minorEastAsia" w:hAnsiTheme="minorEastAsia"/>
          <w:color w:val="000000"/>
        </w:rPr>
      </w:pPr>
    </w:p>
    <w:p w14:paraId="12D5D402" w14:textId="77777777" w:rsidR="0099187B" w:rsidRPr="006C7782" w:rsidRDefault="0099187B" w:rsidP="0099187B">
      <w:pPr>
        <w:pStyle w:val="NormalWeb"/>
        <w:spacing w:before="0" w:beforeAutospacing="0" w:after="0" w:afterAutospacing="0"/>
        <w:ind w:left="567"/>
        <w:jc w:val="both"/>
        <w:textAlignment w:val="baseline"/>
        <w:rPr>
          <w:rFonts w:asciiTheme="minorEastAsia" w:eastAsiaTheme="minorEastAsia" w:hAnsiTheme="minorEastAsia"/>
          <w:color w:val="000000"/>
        </w:rPr>
      </w:pPr>
      <w:r w:rsidRPr="006C7782">
        <w:rPr>
          <w:rFonts w:asciiTheme="minorEastAsia" w:eastAsiaTheme="minorEastAsia" w:hAnsiTheme="minorEastAsia"/>
          <w:color w:val="000000"/>
        </w:rPr>
        <w:t>b. What are the implications of this statement for our daily lives?</w:t>
      </w:r>
    </w:p>
    <w:p w14:paraId="53C8FFE7" w14:textId="3D522157" w:rsidR="004F62B1" w:rsidRPr="006C7782" w:rsidRDefault="004F62B1" w:rsidP="0099187B">
      <w:pPr>
        <w:pStyle w:val="NormalWeb"/>
        <w:spacing w:before="0" w:beforeAutospacing="0" w:after="0" w:afterAutospacing="0"/>
        <w:ind w:left="567"/>
        <w:jc w:val="both"/>
        <w:textAlignment w:val="baseline"/>
        <w:rPr>
          <w:rFonts w:asciiTheme="minorEastAsia" w:eastAsiaTheme="minorEastAsia" w:hAnsiTheme="minorEastAsia"/>
          <w:color w:val="000000"/>
        </w:rPr>
      </w:pPr>
      <w:r w:rsidRPr="006C7782">
        <w:rPr>
          <w:rFonts w:asciiTheme="minorEastAsia" w:eastAsiaTheme="minorEastAsia" w:hAnsiTheme="minorEastAsia"/>
          <w:color w:val="000000"/>
        </w:rPr>
        <w:t>這一說法對我們日常生活有什麼影響？</w:t>
      </w:r>
    </w:p>
    <w:p w14:paraId="610E29AB" w14:textId="77777777" w:rsidR="004F62B1" w:rsidRPr="006C7782" w:rsidRDefault="004F62B1" w:rsidP="00CE46DD">
      <w:pPr>
        <w:tabs>
          <w:tab w:val="num" w:pos="567"/>
        </w:tabs>
        <w:ind w:left="567" w:hanging="578"/>
        <w:jc w:val="both"/>
        <w:rPr>
          <w:rFonts w:asciiTheme="minorEastAsia" w:eastAsiaTheme="minorEastAsia" w:hAnsiTheme="minorEastAsia"/>
        </w:rPr>
      </w:pPr>
      <w:r w:rsidRPr="006C7782">
        <w:rPr>
          <w:rFonts w:asciiTheme="minorEastAsia" w:eastAsiaTheme="minorEastAsia" w:hAnsiTheme="minorEastAsia"/>
        </w:rPr>
        <w:br/>
      </w:r>
    </w:p>
    <w:p w14:paraId="7E5171C9" w14:textId="77777777" w:rsidR="002C3932" w:rsidRPr="006C7782" w:rsidRDefault="002C3932" w:rsidP="002C3932">
      <w:pPr>
        <w:pStyle w:val="NormalWeb"/>
        <w:numPr>
          <w:ilvl w:val="0"/>
          <w:numId w:val="6"/>
        </w:numPr>
        <w:spacing w:before="0" w:beforeAutospacing="0" w:after="0" w:afterAutospacing="0"/>
        <w:ind w:left="567" w:hanging="578"/>
        <w:jc w:val="both"/>
        <w:textAlignment w:val="baseline"/>
        <w:rPr>
          <w:rFonts w:asciiTheme="minorEastAsia" w:eastAsiaTheme="minorEastAsia" w:hAnsiTheme="minorEastAsia"/>
          <w:color w:val="000000"/>
        </w:rPr>
      </w:pPr>
      <w:r w:rsidRPr="006C7782">
        <w:rPr>
          <w:rFonts w:asciiTheme="minorEastAsia" w:eastAsiaTheme="minorEastAsia" w:hAnsiTheme="minorEastAsia"/>
          <w:color w:val="000000"/>
        </w:rPr>
        <w:t>The sword is the only weapon mentioned that is both defensive and offensive in its use. What are some examples of how we can use this sword, “the Word of God,” in both ways?</w:t>
      </w:r>
    </w:p>
    <w:p w14:paraId="77615C69" w14:textId="4443F66C" w:rsidR="004F62B1" w:rsidRPr="006C7782" w:rsidRDefault="004F62B1" w:rsidP="002C3932">
      <w:pPr>
        <w:pStyle w:val="NormalWeb"/>
        <w:spacing w:before="0" w:beforeAutospacing="0" w:after="0" w:afterAutospacing="0"/>
        <w:ind w:left="567"/>
        <w:jc w:val="both"/>
        <w:textAlignment w:val="baseline"/>
        <w:rPr>
          <w:rFonts w:asciiTheme="minorEastAsia" w:eastAsiaTheme="minorEastAsia" w:hAnsiTheme="minorEastAsia"/>
          <w:color w:val="000000"/>
        </w:rPr>
      </w:pPr>
      <w:r w:rsidRPr="006C7782">
        <w:rPr>
          <w:rFonts w:asciiTheme="minorEastAsia" w:eastAsiaTheme="minorEastAsia" w:hAnsiTheme="minorEastAsia"/>
          <w:color w:val="000000"/>
        </w:rPr>
        <w:t>劍是唯一同時具有防禦和攻擊功能的武器。我們如何以防禦和攻擊的方式使用--「天主的話語」--這把劍？</w:t>
      </w:r>
    </w:p>
    <w:p w14:paraId="118710DF" w14:textId="77777777" w:rsidR="00D906A5" w:rsidRPr="006C7782" w:rsidRDefault="00D906A5" w:rsidP="00CE46DD">
      <w:pPr>
        <w:tabs>
          <w:tab w:val="num" w:pos="567"/>
        </w:tabs>
        <w:ind w:left="567" w:hanging="578"/>
        <w:jc w:val="both"/>
        <w:rPr>
          <w:rFonts w:asciiTheme="minorEastAsia" w:eastAsiaTheme="minorEastAsia" w:hAnsiTheme="minorEastAsia"/>
        </w:rPr>
      </w:pPr>
    </w:p>
    <w:p w14:paraId="6D23196F" w14:textId="07E25943" w:rsidR="004F62B1" w:rsidRPr="006C7782" w:rsidRDefault="004F62B1" w:rsidP="00CE46DD">
      <w:pPr>
        <w:tabs>
          <w:tab w:val="num" w:pos="567"/>
        </w:tabs>
        <w:ind w:left="567" w:hanging="578"/>
        <w:jc w:val="both"/>
        <w:rPr>
          <w:rFonts w:asciiTheme="minorEastAsia" w:eastAsiaTheme="minorEastAsia" w:hAnsiTheme="minorEastAsia"/>
        </w:rPr>
      </w:pPr>
      <w:r w:rsidRPr="006C7782">
        <w:rPr>
          <w:rFonts w:asciiTheme="minorEastAsia" w:eastAsiaTheme="minorEastAsia" w:hAnsiTheme="minorEastAsia"/>
        </w:rPr>
        <w:br/>
      </w:r>
    </w:p>
    <w:p w14:paraId="0081D9F8" w14:textId="77777777" w:rsidR="002C3932" w:rsidRPr="006C7782" w:rsidRDefault="002C3932" w:rsidP="002C3932">
      <w:pPr>
        <w:pStyle w:val="NormalWeb"/>
        <w:numPr>
          <w:ilvl w:val="0"/>
          <w:numId w:val="7"/>
        </w:numPr>
        <w:spacing w:before="0" w:beforeAutospacing="0" w:after="0" w:afterAutospacing="0"/>
        <w:ind w:left="567" w:hanging="578"/>
        <w:jc w:val="both"/>
        <w:textAlignment w:val="baseline"/>
        <w:rPr>
          <w:rFonts w:asciiTheme="minorEastAsia" w:eastAsiaTheme="minorEastAsia" w:hAnsiTheme="minorEastAsia"/>
          <w:color w:val="000000"/>
        </w:rPr>
      </w:pPr>
      <w:r w:rsidRPr="006C7782">
        <w:rPr>
          <w:rFonts w:asciiTheme="minorEastAsia" w:eastAsiaTheme="minorEastAsia" w:hAnsiTheme="minorEastAsia"/>
          <w:color w:val="000000"/>
        </w:rPr>
        <w:t xml:space="preserve">Paul exhorts us </w:t>
      </w:r>
      <w:proofErr w:type="gramStart"/>
      <w:r w:rsidRPr="006C7782">
        <w:rPr>
          <w:rFonts w:asciiTheme="minorEastAsia" w:eastAsiaTheme="minorEastAsia" w:hAnsiTheme="minorEastAsia"/>
          <w:color w:val="000000"/>
        </w:rPr>
        <w:t>“ besides</w:t>
      </w:r>
      <w:proofErr w:type="gramEnd"/>
      <w:r w:rsidRPr="006C7782">
        <w:rPr>
          <w:rFonts w:asciiTheme="minorEastAsia" w:eastAsiaTheme="minorEastAsia" w:hAnsiTheme="minorEastAsia"/>
          <w:color w:val="000000"/>
        </w:rPr>
        <w:t xml:space="preserve"> all these” to take up “the shield of faith” (Ephesians 6:16).</w:t>
      </w:r>
    </w:p>
    <w:p w14:paraId="7693A9BD" w14:textId="5153376B" w:rsidR="004F62B1" w:rsidRPr="006C7782" w:rsidRDefault="004F62B1" w:rsidP="002C3932">
      <w:pPr>
        <w:pStyle w:val="NormalWeb"/>
        <w:spacing w:before="0" w:beforeAutospacing="0" w:after="0" w:afterAutospacing="0"/>
        <w:ind w:left="567"/>
        <w:jc w:val="both"/>
        <w:textAlignment w:val="baseline"/>
        <w:rPr>
          <w:rFonts w:asciiTheme="minorEastAsia" w:eastAsiaTheme="minorEastAsia" w:hAnsiTheme="minorEastAsia"/>
          <w:color w:val="000000"/>
        </w:rPr>
      </w:pPr>
      <w:r w:rsidRPr="006C7782">
        <w:rPr>
          <w:rFonts w:asciiTheme="minorEastAsia" w:eastAsiaTheme="minorEastAsia" w:hAnsiTheme="minorEastAsia"/>
          <w:color w:val="000000"/>
        </w:rPr>
        <w:t>保祿</w:t>
      </w:r>
      <w:r w:rsidRPr="006C7782">
        <w:rPr>
          <w:rFonts w:asciiTheme="minorEastAsia" w:eastAsiaTheme="minorEastAsia" w:hAnsiTheme="minorEastAsia"/>
        </w:rPr>
        <w:t>勸告我們要拿起「信德作盾牌」</w:t>
      </w:r>
      <w:r w:rsidRPr="006C7782">
        <w:rPr>
          <w:rFonts w:asciiTheme="minorEastAsia" w:eastAsiaTheme="minorEastAsia" w:hAnsiTheme="minorEastAsia"/>
          <w:color w:val="000000"/>
        </w:rPr>
        <w:t>。 （《厄弗所書》6:16）</w:t>
      </w:r>
    </w:p>
    <w:p w14:paraId="19E39F97" w14:textId="77777777" w:rsidR="004F62B1" w:rsidRPr="006C7782" w:rsidRDefault="004F62B1" w:rsidP="00CE46DD">
      <w:pPr>
        <w:tabs>
          <w:tab w:val="num" w:pos="567"/>
        </w:tabs>
        <w:ind w:left="567"/>
        <w:jc w:val="both"/>
        <w:rPr>
          <w:rFonts w:asciiTheme="minorEastAsia" w:eastAsiaTheme="minorEastAsia" w:hAnsiTheme="minorEastAsia"/>
        </w:rPr>
      </w:pPr>
      <w:r w:rsidRPr="006C7782">
        <w:rPr>
          <w:rFonts w:asciiTheme="minorEastAsia" w:eastAsiaTheme="minorEastAsia" w:hAnsiTheme="minorEastAsia"/>
        </w:rPr>
        <w:br/>
      </w:r>
    </w:p>
    <w:p w14:paraId="1BE32E3D" w14:textId="662001FC" w:rsidR="002C3932" w:rsidRPr="006C7782" w:rsidRDefault="002C3932" w:rsidP="002C3932">
      <w:pPr>
        <w:pStyle w:val="NormalWeb"/>
        <w:spacing w:before="0" w:beforeAutospacing="0" w:after="0" w:afterAutospacing="0"/>
        <w:ind w:left="567"/>
        <w:jc w:val="both"/>
        <w:textAlignment w:val="baseline"/>
        <w:rPr>
          <w:rFonts w:asciiTheme="minorEastAsia" w:eastAsiaTheme="minorEastAsia" w:hAnsiTheme="minorEastAsia"/>
          <w:color w:val="000000"/>
        </w:rPr>
      </w:pPr>
      <w:r w:rsidRPr="006C7782">
        <w:rPr>
          <w:rFonts w:asciiTheme="minorEastAsia" w:eastAsiaTheme="minorEastAsia" w:hAnsiTheme="minorEastAsia"/>
          <w:color w:val="000000"/>
        </w:rPr>
        <w:t>a. Why is faith the most important piece of armor?</w:t>
      </w:r>
    </w:p>
    <w:p w14:paraId="4C6E14EF" w14:textId="7E8A41A7" w:rsidR="004F62B1" w:rsidRPr="006C7782" w:rsidRDefault="004F62B1" w:rsidP="002C3932">
      <w:pPr>
        <w:pStyle w:val="NormalWeb"/>
        <w:spacing w:before="0" w:beforeAutospacing="0" w:after="0" w:afterAutospacing="0"/>
        <w:ind w:left="567"/>
        <w:jc w:val="both"/>
        <w:textAlignment w:val="baseline"/>
        <w:rPr>
          <w:rFonts w:asciiTheme="minorEastAsia" w:eastAsiaTheme="minorEastAsia" w:hAnsiTheme="minorEastAsia"/>
          <w:color w:val="000000"/>
        </w:rPr>
      </w:pPr>
      <w:r w:rsidRPr="006C7782">
        <w:rPr>
          <w:rFonts w:asciiTheme="minorEastAsia" w:eastAsiaTheme="minorEastAsia" w:hAnsiTheme="minorEastAsia"/>
          <w:color w:val="000000"/>
        </w:rPr>
        <w:t>為什麼信德是最重要的盔甲？</w:t>
      </w:r>
    </w:p>
    <w:p w14:paraId="19059A6F" w14:textId="0702440F" w:rsidR="002C3932" w:rsidRPr="006C7782" w:rsidRDefault="002C3932" w:rsidP="002C3932">
      <w:pPr>
        <w:pStyle w:val="NormalWeb"/>
        <w:spacing w:before="0" w:beforeAutospacing="0" w:after="0" w:afterAutospacing="0"/>
        <w:ind w:left="567"/>
        <w:jc w:val="both"/>
        <w:textAlignment w:val="baseline"/>
        <w:rPr>
          <w:rFonts w:asciiTheme="minorEastAsia" w:eastAsiaTheme="minorEastAsia" w:hAnsiTheme="minorEastAsia"/>
          <w:color w:val="000000"/>
        </w:rPr>
      </w:pPr>
    </w:p>
    <w:p w14:paraId="7CF99B9B" w14:textId="77777777" w:rsidR="002C3932" w:rsidRPr="006C7782" w:rsidRDefault="002C3932" w:rsidP="002C3932">
      <w:pPr>
        <w:pStyle w:val="NormalWeb"/>
        <w:spacing w:before="0" w:beforeAutospacing="0" w:after="0" w:afterAutospacing="0"/>
        <w:ind w:left="567"/>
        <w:jc w:val="both"/>
        <w:textAlignment w:val="baseline"/>
        <w:rPr>
          <w:rFonts w:asciiTheme="minorEastAsia" w:eastAsiaTheme="minorEastAsia" w:hAnsiTheme="minorEastAsia"/>
          <w:color w:val="000000"/>
        </w:rPr>
      </w:pPr>
    </w:p>
    <w:p w14:paraId="3AFBFA45" w14:textId="35A78250" w:rsidR="002C3932" w:rsidRPr="006C7782" w:rsidRDefault="002C3932" w:rsidP="002C3932">
      <w:pPr>
        <w:pStyle w:val="NormalWeb"/>
        <w:spacing w:before="0" w:beforeAutospacing="0" w:after="0" w:afterAutospacing="0"/>
        <w:ind w:left="567"/>
        <w:jc w:val="both"/>
        <w:textAlignment w:val="baseline"/>
        <w:rPr>
          <w:rFonts w:asciiTheme="minorEastAsia" w:eastAsiaTheme="minorEastAsia" w:hAnsiTheme="minorEastAsia"/>
          <w:color w:val="000000"/>
        </w:rPr>
      </w:pPr>
      <w:r w:rsidRPr="006C7782">
        <w:rPr>
          <w:rFonts w:asciiTheme="minorEastAsia" w:eastAsiaTheme="minorEastAsia" w:hAnsiTheme="minorEastAsia"/>
          <w:color w:val="000000"/>
        </w:rPr>
        <w:t>b. What are the things we can do daily or weekly to strengthen our faith?</w:t>
      </w:r>
    </w:p>
    <w:p w14:paraId="3625EDB1" w14:textId="348DB23F" w:rsidR="004F62B1" w:rsidRPr="006C7782" w:rsidRDefault="004F62B1" w:rsidP="002C3932">
      <w:pPr>
        <w:pStyle w:val="NormalWeb"/>
        <w:spacing w:before="0" w:beforeAutospacing="0" w:after="0" w:afterAutospacing="0"/>
        <w:ind w:left="567"/>
        <w:jc w:val="both"/>
        <w:textAlignment w:val="baseline"/>
        <w:rPr>
          <w:rFonts w:asciiTheme="minorEastAsia" w:eastAsiaTheme="minorEastAsia" w:hAnsiTheme="minorEastAsia"/>
          <w:color w:val="000000"/>
        </w:rPr>
      </w:pPr>
      <w:r w:rsidRPr="006C7782">
        <w:rPr>
          <w:rFonts w:asciiTheme="minorEastAsia" w:eastAsiaTheme="minorEastAsia" w:hAnsiTheme="minorEastAsia"/>
          <w:color w:val="000000"/>
        </w:rPr>
        <w:t>我們</w:t>
      </w:r>
      <w:r w:rsidRPr="006C7782">
        <w:rPr>
          <w:rFonts w:asciiTheme="minorEastAsia" w:eastAsiaTheme="minorEastAsia" w:hAnsiTheme="minorEastAsia"/>
        </w:rPr>
        <w:t>可以在每天或每週做些什麼</w:t>
      </w:r>
      <w:r w:rsidRPr="006C7782">
        <w:rPr>
          <w:rFonts w:asciiTheme="minorEastAsia" w:eastAsiaTheme="minorEastAsia" w:hAnsiTheme="minorEastAsia"/>
          <w:color w:val="000000"/>
        </w:rPr>
        <w:t>來加強我們的信德？</w:t>
      </w:r>
    </w:p>
    <w:p w14:paraId="681C631C" w14:textId="77777777" w:rsidR="004F62B1" w:rsidRPr="006C7782" w:rsidRDefault="004F62B1" w:rsidP="00CE46DD">
      <w:pPr>
        <w:tabs>
          <w:tab w:val="num" w:pos="567"/>
        </w:tabs>
        <w:ind w:left="567" w:hanging="578"/>
        <w:jc w:val="both"/>
        <w:rPr>
          <w:rFonts w:asciiTheme="minorEastAsia" w:eastAsiaTheme="minorEastAsia" w:hAnsiTheme="minorEastAsia"/>
        </w:rPr>
      </w:pPr>
      <w:r w:rsidRPr="006C7782">
        <w:rPr>
          <w:rFonts w:asciiTheme="minorEastAsia" w:eastAsiaTheme="minorEastAsia" w:hAnsiTheme="minorEastAsia"/>
        </w:rPr>
        <w:lastRenderedPageBreak/>
        <w:br/>
      </w:r>
    </w:p>
    <w:p w14:paraId="5879D02C" w14:textId="77777777" w:rsidR="002C3932" w:rsidRPr="006C7782" w:rsidRDefault="002C3932" w:rsidP="002C3932">
      <w:pPr>
        <w:pStyle w:val="NormalWeb"/>
        <w:numPr>
          <w:ilvl w:val="0"/>
          <w:numId w:val="9"/>
        </w:numPr>
        <w:spacing w:before="0" w:beforeAutospacing="0" w:after="0" w:afterAutospacing="0"/>
        <w:ind w:left="567" w:hanging="578"/>
        <w:jc w:val="both"/>
        <w:textAlignment w:val="baseline"/>
        <w:rPr>
          <w:rFonts w:asciiTheme="minorEastAsia" w:eastAsiaTheme="minorEastAsia" w:hAnsiTheme="minorEastAsia"/>
          <w:color w:val="000000"/>
        </w:rPr>
      </w:pPr>
      <w:r w:rsidRPr="006C7782">
        <w:rPr>
          <w:rFonts w:asciiTheme="minorEastAsia" w:eastAsiaTheme="minorEastAsia" w:hAnsiTheme="minorEastAsia"/>
          <w:color w:val="000000"/>
        </w:rPr>
        <w:t xml:space="preserve">Paul proposes the </w:t>
      </w:r>
      <w:proofErr w:type="gramStart"/>
      <w:r w:rsidRPr="006C7782">
        <w:rPr>
          <w:rFonts w:asciiTheme="minorEastAsia" w:eastAsiaTheme="minorEastAsia" w:hAnsiTheme="minorEastAsia"/>
          <w:color w:val="000000"/>
        </w:rPr>
        <w:t>“ helmet</w:t>
      </w:r>
      <w:proofErr w:type="gramEnd"/>
      <w:r w:rsidRPr="006C7782">
        <w:rPr>
          <w:rFonts w:asciiTheme="minorEastAsia" w:eastAsiaTheme="minorEastAsia" w:hAnsiTheme="minorEastAsia"/>
          <w:color w:val="000000"/>
        </w:rPr>
        <w:t xml:space="preserve"> of salvation” (Ephesians 6:17). Protecting our heads in physical battle is a matter of life and death, and protecting our minds in spiritual battle is no less crucial. Read 2 Corinthians 10:3-5 and Philippians 4:8. What wisdom does Paul give us as we fight on the battlefield of our minds?</w:t>
      </w:r>
    </w:p>
    <w:p w14:paraId="241311C6" w14:textId="19471EEB" w:rsidR="004F62B1" w:rsidRPr="006C7782" w:rsidRDefault="004F62B1" w:rsidP="002C3932">
      <w:pPr>
        <w:pStyle w:val="NormalWeb"/>
        <w:spacing w:before="0" w:beforeAutospacing="0" w:after="0" w:afterAutospacing="0"/>
        <w:ind w:left="567"/>
        <w:jc w:val="both"/>
        <w:textAlignment w:val="baseline"/>
        <w:rPr>
          <w:rFonts w:asciiTheme="minorEastAsia" w:eastAsiaTheme="minorEastAsia" w:hAnsiTheme="minorEastAsia"/>
          <w:color w:val="000000"/>
        </w:rPr>
      </w:pPr>
      <w:r w:rsidRPr="006C7782">
        <w:rPr>
          <w:rFonts w:asciiTheme="minorEastAsia" w:eastAsiaTheme="minorEastAsia" w:hAnsiTheme="minorEastAsia"/>
          <w:color w:val="000000"/>
        </w:rPr>
        <w:t>保</w:t>
      </w:r>
      <w:r w:rsidRPr="006C7782">
        <w:rPr>
          <w:rFonts w:asciiTheme="minorEastAsia" w:eastAsiaTheme="minorEastAsia" w:hAnsiTheme="minorEastAsia"/>
        </w:rPr>
        <w:t>祿提出「救恩當盔」 （《厄弗所書》6:17）。保護我們的頭部在身體搏鬥中是生死攸關的，而在屬靈戰鬥中，保護我們的心智也是同樣重要。閱讀《格林多人後書》10:3-5 和《斐理伯書》4:8，保祿在我們心智的戰場上給了我們什麼智慧</w:t>
      </w:r>
      <w:r w:rsidRPr="006C7782">
        <w:rPr>
          <w:rFonts w:asciiTheme="minorEastAsia" w:eastAsiaTheme="minorEastAsia" w:hAnsiTheme="minorEastAsia"/>
          <w:color w:val="000000"/>
        </w:rPr>
        <w:t>？</w:t>
      </w:r>
    </w:p>
    <w:p w14:paraId="239746CF" w14:textId="77777777" w:rsidR="00F03056" w:rsidRDefault="00F03056" w:rsidP="00F72568">
      <w:pPr>
        <w:tabs>
          <w:tab w:val="num" w:pos="567"/>
        </w:tabs>
        <w:ind w:left="567"/>
        <w:rPr>
          <w:rFonts w:asciiTheme="minorEastAsia" w:eastAsiaTheme="minorEastAsia" w:hAnsiTheme="minorEastAsia"/>
        </w:rPr>
      </w:pPr>
    </w:p>
    <w:p w14:paraId="5347FB73" w14:textId="77777777" w:rsidR="00F03056" w:rsidRDefault="00F03056" w:rsidP="00F72568">
      <w:pPr>
        <w:tabs>
          <w:tab w:val="num" w:pos="567"/>
        </w:tabs>
        <w:ind w:left="567"/>
        <w:rPr>
          <w:rFonts w:asciiTheme="minorEastAsia" w:eastAsiaTheme="minorEastAsia" w:hAnsiTheme="minorEastAsia"/>
        </w:rPr>
      </w:pPr>
    </w:p>
    <w:p w14:paraId="0A9DA24A" w14:textId="7D843090" w:rsidR="004F62B1" w:rsidRPr="006C7782" w:rsidRDefault="004F62B1" w:rsidP="00F72568">
      <w:pPr>
        <w:tabs>
          <w:tab w:val="num" w:pos="567"/>
        </w:tabs>
        <w:ind w:left="567"/>
        <w:rPr>
          <w:rFonts w:asciiTheme="minorEastAsia" w:eastAsiaTheme="minorEastAsia" w:hAnsiTheme="minorEastAsia"/>
        </w:rPr>
      </w:pPr>
      <w:r w:rsidRPr="006C7782">
        <w:rPr>
          <w:rFonts w:asciiTheme="minorEastAsia" w:eastAsiaTheme="minorEastAsia" w:hAnsiTheme="minorEastAsia"/>
        </w:rPr>
        <w:br/>
      </w:r>
    </w:p>
    <w:p w14:paraId="1C89829E" w14:textId="77777777" w:rsidR="002C3932" w:rsidRPr="006C7782" w:rsidRDefault="002C3932" w:rsidP="002C3932">
      <w:pPr>
        <w:pStyle w:val="NormalWeb"/>
        <w:numPr>
          <w:ilvl w:val="0"/>
          <w:numId w:val="10"/>
        </w:numPr>
        <w:spacing w:before="0" w:beforeAutospacing="0" w:after="0" w:afterAutospacing="0"/>
        <w:ind w:left="567" w:hanging="578"/>
        <w:jc w:val="both"/>
        <w:textAlignment w:val="baseline"/>
        <w:rPr>
          <w:rFonts w:asciiTheme="minorEastAsia" w:eastAsiaTheme="minorEastAsia" w:hAnsiTheme="minorEastAsia"/>
          <w:color w:val="000000"/>
        </w:rPr>
      </w:pPr>
      <w:r w:rsidRPr="006C7782">
        <w:rPr>
          <w:rFonts w:asciiTheme="minorEastAsia" w:eastAsiaTheme="minorEastAsia" w:hAnsiTheme="minorEastAsia"/>
          <w:color w:val="000000"/>
        </w:rPr>
        <w:t>Read Ephesians 6:18-20. What wisdom does Paul offer for the nature of our prayer life and the content of our prayers?</w:t>
      </w:r>
    </w:p>
    <w:p w14:paraId="5C679DB0" w14:textId="5500D8C9" w:rsidR="004F62B1" w:rsidRPr="006C7782" w:rsidRDefault="004F62B1" w:rsidP="002C3932">
      <w:pPr>
        <w:pStyle w:val="NormalWeb"/>
        <w:spacing w:before="0" w:beforeAutospacing="0" w:after="0" w:afterAutospacing="0"/>
        <w:ind w:left="567"/>
        <w:jc w:val="both"/>
        <w:textAlignment w:val="baseline"/>
        <w:rPr>
          <w:rFonts w:asciiTheme="minorEastAsia" w:eastAsiaTheme="minorEastAsia" w:hAnsiTheme="minorEastAsia"/>
          <w:color w:val="000000"/>
        </w:rPr>
      </w:pPr>
      <w:r w:rsidRPr="006C7782">
        <w:rPr>
          <w:rFonts w:asciiTheme="minorEastAsia" w:eastAsiaTheme="minorEastAsia" w:hAnsiTheme="minorEastAsia"/>
          <w:color w:val="000000"/>
        </w:rPr>
        <w:t>閱讀《厄弗所書》6:18-20。保祿對我們的祈禱生活和祈禱內容有什麼</w:t>
      </w:r>
      <w:r w:rsidRPr="006C7782">
        <w:rPr>
          <w:rFonts w:asciiTheme="minorEastAsia" w:eastAsiaTheme="minorEastAsia" w:hAnsiTheme="minorEastAsia"/>
        </w:rPr>
        <w:t>具智慧的</w:t>
      </w:r>
      <w:r w:rsidRPr="006C7782">
        <w:rPr>
          <w:rFonts w:asciiTheme="minorEastAsia" w:eastAsiaTheme="minorEastAsia" w:hAnsiTheme="minorEastAsia"/>
          <w:color w:val="000000"/>
        </w:rPr>
        <w:t>建議？</w:t>
      </w:r>
    </w:p>
    <w:p w14:paraId="26ABE61A" w14:textId="77777777" w:rsidR="00ED2538" w:rsidRPr="006C7782" w:rsidRDefault="00ED2538" w:rsidP="002C3932">
      <w:pPr>
        <w:pStyle w:val="NormalWeb"/>
        <w:spacing w:before="0" w:beforeAutospacing="0" w:after="0" w:afterAutospacing="0"/>
        <w:ind w:left="567"/>
        <w:jc w:val="both"/>
        <w:textAlignment w:val="baseline"/>
        <w:rPr>
          <w:rFonts w:asciiTheme="minorEastAsia" w:eastAsiaTheme="minorEastAsia" w:hAnsiTheme="minorEastAsia"/>
          <w:color w:val="000000"/>
          <w:lang w:val="en-US"/>
        </w:rPr>
      </w:pPr>
    </w:p>
    <w:p w14:paraId="0E195A9B" w14:textId="77777777" w:rsidR="004F62B1" w:rsidRDefault="004F62B1" w:rsidP="00CE46DD">
      <w:pPr>
        <w:rPr>
          <w:rFonts w:asciiTheme="minorEastAsia" w:eastAsiaTheme="minorEastAsia" w:hAnsiTheme="minorEastAsia"/>
        </w:rPr>
      </w:pPr>
    </w:p>
    <w:p w14:paraId="37EF3F7D" w14:textId="77777777" w:rsidR="00F03056" w:rsidRDefault="00F03056" w:rsidP="00CE46DD">
      <w:pPr>
        <w:rPr>
          <w:rFonts w:asciiTheme="minorEastAsia" w:eastAsiaTheme="minorEastAsia" w:hAnsiTheme="minorEastAsia"/>
        </w:rPr>
      </w:pPr>
    </w:p>
    <w:p w14:paraId="2F03EF39" w14:textId="77777777" w:rsidR="00F03056" w:rsidRPr="006C7782" w:rsidRDefault="00F03056" w:rsidP="00CE46DD">
      <w:pPr>
        <w:rPr>
          <w:rFonts w:asciiTheme="minorEastAsia" w:eastAsiaTheme="minorEastAsia" w:hAnsiTheme="minorEastAsia"/>
        </w:rPr>
      </w:pPr>
    </w:p>
    <w:p w14:paraId="7DB5B4D6" w14:textId="77777777" w:rsidR="004F62B1" w:rsidRPr="006C7782" w:rsidRDefault="004F62B1" w:rsidP="00CE46DD">
      <w:pPr>
        <w:pStyle w:val="NormalWeb"/>
        <w:spacing w:before="0" w:beforeAutospacing="0" w:after="0" w:afterAutospacing="0"/>
        <w:rPr>
          <w:rFonts w:asciiTheme="minorEastAsia" w:eastAsiaTheme="minorEastAsia" w:hAnsiTheme="minorEastAsia"/>
        </w:rPr>
      </w:pPr>
      <w:r w:rsidRPr="006C7782">
        <w:rPr>
          <w:rFonts w:asciiTheme="minorEastAsia" w:eastAsiaTheme="minorEastAsia" w:hAnsiTheme="minorEastAsia"/>
          <w:color w:val="000000"/>
        </w:rPr>
        <w:t>(</w:t>
      </w:r>
      <w:r w:rsidRPr="006C7782">
        <w:rPr>
          <w:rFonts w:asciiTheme="minorEastAsia" w:eastAsiaTheme="minorEastAsia" w:hAnsiTheme="minorEastAsia"/>
        </w:rPr>
        <w:t>本課提取重點</w:t>
      </w:r>
      <w:r w:rsidRPr="006C7782">
        <w:rPr>
          <w:rFonts w:asciiTheme="minorEastAsia" w:eastAsiaTheme="minorEastAsia" w:hAnsiTheme="minorEastAsia"/>
          <w:color w:val="000000"/>
        </w:rPr>
        <w:t>) TAKEAWAYS</w:t>
      </w:r>
    </w:p>
    <w:p w14:paraId="3EE76F5A" w14:textId="77777777" w:rsidR="004F62B1" w:rsidRPr="006C7782" w:rsidRDefault="004F62B1" w:rsidP="00CE46DD">
      <w:pPr>
        <w:numPr>
          <w:ilvl w:val="0"/>
          <w:numId w:val="12"/>
        </w:numPr>
        <w:rPr>
          <w:rFonts w:asciiTheme="minorEastAsia" w:eastAsiaTheme="minorEastAsia" w:hAnsiTheme="minorEastAsia"/>
        </w:rPr>
      </w:pPr>
      <w:r w:rsidRPr="006C7782">
        <w:rPr>
          <w:rFonts w:asciiTheme="minorEastAsia" w:eastAsiaTheme="minorEastAsia" w:hAnsiTheme="minorEastAsia"/>
          <w:color w:val="000000"/>
        </w:rPr>
        <w:t>帶著戰勝的</w:t>
      </w:r>
      <w:r w:rsidRPr="006C7782">
        <w:rPr>
          <w:rFonts w:asciiTheme="minorEastAsia" w:eastAsiaTheme="minorEastAsia" w:hAnsiTheme="minorEastAsia"/>
        </w:rPr>
        <w:t>心態去面對這週的每一天。觀察所有可能會令你屈服或放棄的情況，並提醒自己，戰鬥已經勝利了。</w:t>
      </w:r>
    </w:p>
    <w:p w14:paraId="4FA7A20A" w14:textId="77777777" w:rsidR="004F62B1" w:rsidRPr="006C7782" w:rsidRDefault="004F62B1" w:rsidP="00CE46DD">
      <w:pPr>
        <w:numPr>
          <w:ilvl w:val="0"/>
          <w:numId w:val="12"/>
        </w:numPr>
        <w:rPr>
          <w:rFonts w:asciiTheme="minorEastAsia" w:eastAsiaTheme="minorEastAsia" w:hAnsiTheme="minorEastAsia"/>
        </w:rPr>
      </w:pPr>
      <w:r w:rsidRPr="006C7782">
        <w:rPr>
          <w:rFonts w:asciiTheme="minorEastAsia" w:eastAsiaTheme="minorEastAsia" w:hAnsiTheme="minorEastAsia"/>
        </w:rPr>
        <w:t>每天選擇一件屬靈的盔甲，專注於在這方面的成長。訓練自己在使用那件裝備時，能夠行使正義。</w:t>
      </w:r>
    </w:p>
    <w:p w14:paraId="6D004B5F" w14:textId="77777777" w:rsidR="00EA14DF" w:rsidRPr="006C7782" w:rsidRDefault="004F62B1" w:rsidP="00CE46DD">
      <w:pPr>
        <w:numPr>
          <w:ilvl w:val="0"/>
          <w:numId w:val="12"/>
        </w:numPr>
        <w:rPr>
          <w:rFonts w:asciiTheme="minorEastAsia" w:eastAsiaTheme="minorEastAsia" w:hAnsiTheme="minorEastAsia"/>
        </w:rPr>
      </w:pPr>
      <w:r w:rsidRPr="006C7782">
        <w:rPr>
          <w:rFonts w:asciiTheme="minorEastAsia" w:eastAsiaTheme="minorEastAsia" w:hAnsiTheme="minorEastAsia"/>
        </w:rPr>
        <w:t>保祿在這封書信的結尾祝願：「願恩寵與那些以永恆不變的愛愛我們的主耶穌基督的人同在！」（《厄弗所書》6:24）。這次對《厄弗所書》的學習，如何增強了你對基督堅定的</w:t>
      </w:r>
      <w:r w:rsidRPr="006C7782">
        <w:rPr>
          <w:rFonts w:asciiTheme="minorEastAsia" w:eastAsiaTheme="minorEastAsia" w:hAnsiTheme="minorEastAsia"/>
          <w:color w:val="000000"/>
        </w:rPr>
        <w:t>愛，以及你在生活和人際關係中的實踐？</w:t>
      </w:r>
    </w:p>
    <w:sectPr w:rsidR="00EA14DF" w:rsidRPr="006C778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09B"/>
    <w:multiLevelType w:val="multilevel"/>
    <w:tmpl w:val="0344B5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64CB9"/>
    <w:multiLevelType w:val="multilevel"/>
    <w:tmpl w:val="40D46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6F6664"/>
    <w:multiLevelType w:val="multilevel"/>
    <w:tmpl w:val="B42435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43252F"/>
    <w:multiLevelType w:val="multilevel"/>
    <w:tmpl w:val="79F4ED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C92B9F"/>
    <w:multiLevelType w:val="multilevel"/>
    <w:tmpl w:val="61BE14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3D35ED"/>
    <w:multiLevelType w:val="hybridMultilevel"/>
    <w:tmpl w:val="1B7485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43E4BF6"/>
    <w:multiLevelType w:val="hybridMultilevel"/>
    <w:tmpl w:val="A36ABE30"/>
    <w:lvl w:ilvl="0" w:tplc="B4A25F98">
      <w:start w:val="2"/>
      <w:numFmt w:val="lowerLetter"/>
      <w:lvlText w:val="%1."/>
      <w:lvlJc w:val="left"/>
      <w:pPr>
        <w:tabs>
          <w:tab w:val="num" w:pos="720"/>
        </w:tabs>
        <w:ind w:left="720" w:hanging="360"/>
      </w:pPr>
    </w:lvl>
    <w:lvl w:ilvl="1" w:tplc="B686BFCE" w:tentative="1">
      <w:start w:val="1"/>
      <w:numFmt w:val="decimal"/>
      <w:lvlText w:val="%2."/>
      <w:lvlJc w:val="left"/>
      <w:pPr>
        <w:tabs>
          <w:tab w:val="num" w:pos="1440"/>
        </w:tabs>
        <w:ind w:left="1440" w:hanging="360"/>
      </w:pPr>
    </w:lvl>
    <w:lvl w:ilvl="2" w:tplc="C0CA8736" w:tentative="1">
      <w:start w:val="1"/>
      <w:numFmt w:val="decimal"/>
      <w:lvlText w:val="%3."/>
      <w:lvlJc w:val="left"/>
      <w:pPr>
        <w:tabs>
          <w:tab w:val="num" w:pos="2160"/>
        </w:tabs>
        <w:ind w:left="2160" w:hanging="360"/>
      </w:pPr>
    </w:lvl>
    <w:lvl w:ilvl="3" w:tplc="A5A8C22C" w:tentative="1">
      <w:start w:val="1"/>
      <w:numFmt w:val="decimal"/>
      <w:lvlText w:val="%4."/>
      <w:lvlJc w:val="left"/>
      <w:pPr>
        <w:tabs>
          <w:tab w:val="num" w:pos="2880"/>
        </w:tabs>
        <w:ind w:left="2880" w:hanging="360"/>
      </w:pPr>
    </w:lvl>
    <w:lvl w:ilvl="4" w:tplc="AAB447D2" w:tentative="1">
      <w:start w:val="1"/>
      <w:numFmt w:val="decimal"/>
      <w:lvlText w:val="%5."/>
      <w:lvlJc w:val="left"/>
      <w:pPr>
        <w:tabs>
          <w:tab w:val="num" w:pos="3600"/>
        </w:tabs>
        <w:ind w:left="3600" w:hanging="360"/>
      </w:pPr>
    </w:lvl>
    <w:lvl w:ilvl="5" w:tplc="C0E217D0" w:tentative="1">
      <w:start w:val="1"/>
      <w:numFmt w:val="decimal"/>
      <w:lvlText w:val="%6."/>
      <w:lvlJc w:val="left"/>
      <w:pPr>
        <w:tabs>
          <w:tab w:val="num" w:pos="4320"/>
        </w:tabs>
        <w:ind w:left="4320" w:hanging="360"/>
      </w:pPr>
    </w:lvl>
    <w:lvl w:ilvl="6" w:tplc="F6DE454E" w:tentative="1">
      <w:start w:val="1"/>
      <w:numFmt w:val="decimal"/>
      <w:lvlText w:val="%7."/>
      <w:lvlJc w:val="left"/>
      <w:pPr>
        <w:tabs>
          <w:tab w:val="num" w:pos="5040"/>
        </w:tabs>
        <w:ind w:left="5040" w:hanging="360"/>
      </w:pPr>
    </w:lvl>
    <w:lvl w:ilvl="7" w:tplc="1E3C4C96" w:tentative="1">
      <w:start w:val="1"/>
      <w:numFmt w:val="decimal"/>
      <w:lvlText w:val="%8."/>
      <w:lvlJc w:val="left"/>
      <w:pPr>
        <w:tabs>
          <w:tab w:val="num" w:pos="5760"/>
        </w:tabs>
        <w:ind w:left="5760" w:hanging="360"/>
      </w:pPr>
    </w:lvl>
    <w:lvl w:ilvl="8" w:tplc="80BE9366" w:tentative="1">
      <w:start w:val="1"/>
      <w:numFmt w:val="decimal"/>
      <w:lvlText w:val="%9."/>
      <w:lvlJc w:val="left"/>
      <w:pPr>
        <w:tabs>
          <w:tab w:val="num" w:pos="6480"/>
        </w:tabs>
        <w:ind w:left="6480" w:hanging="360"/>
      </w:pPr>
    </w:lvl>
  </w:abstractNum>
  <w:abstractNum w:abstractNumId="7" w15:restartNumberingAfterBreak="0">
    <w:nsid w:val="48593F27"/>
    <w:multiLevelType w:val="multilevel"/>
    <w:tmpl w:val="049E9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1A5BF1"/>
    <w:multiLevelType w:val="multilevel"/>
    <w:tmpl w:val="F0522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812EFE"/>
    <w:multiLevelType w:val="multilevel"/>
    <w:tmpl w:val="F5729C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255ACB"/>
    <w:multiLevelType w:val="multilevel"/>
    <w:tmpl w:val="CF266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9141B9"/>
    <w:multiLevelType w:val="multilevel"/>
    <w:tmpl w:val="51441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9858924">
    <w:abstractNumId w:val="8"/>
    <w:lvlOverride w:ilvl="0">
      <w:lvl w:ilvl="0">
        <w:numFmt w:val="lowerLetter"/>
        <w:lvlText w:val="%1."/>
        <w:lvlJc w:val="left"/>
      </w:lvl>
    </w:lvlOverride>
  </w:num>
  <w:num w:numId="2" w16cid:durableId="2058159122">
    <w:abstractNumId w:val="6"/>
  </w:num>
  <w:num w:numId="3" w16cid:durableId="695079175">
    <w:abstractNumId w:val="1"/>
  </w:num>
  <w:num w:numId="4" w16cid:durableId="793249709">
    <w:abstractNumId w:val="0"/>
    <w:lvlOverride w:ilvl="0">
      <w:lvl w:ilvl="0">
        <w:numFmt w:val="decimal"/>
        <w:lvlText w:val="%1."/>
        <w:lvlJc w:val="left"/>
      </w:lvl>
    </w:lvlOverride>
  </w:num>
  <w:num w:numId="5" w16cid:durableId="1677343926">
    <w:abstractNumId w:val="11"/>
    <w:lvlOverride w:ilvl="0">
      <w:lvl w:ilvl="0">
        <w:numFmt w:val="lowerLetter"/>
        <w:lvlText w:val="%1."/>
        <w:lvlJc w:val="left"/>
      </w:lvl>
    </w:lvlOverride>
  </w:num>
  <w:num w:numId="6" w16cid:durableId="1782409254">
    <w:abstractNumId w:val="9"/>
    <w:lvlOverride w:ilvl="0">
      <w:lvl w:ilvl="0">
        <w:numFmt w:val="decimal"/>
        <w:lvlText w:val="%1."/>
        <w:lvlJc w:val="left"/>
      </w:lvl>
    </w:lvlOverride>
  </w:num>
  <w:num w:numId="7" w16cid:durableId="400951483">
    <w:abstractNumId w:val="3"/>
    <w:lvlOverride w:ilvl="0">
      <w:lvl w:ilvl="0">
        <w:numFmt w:val="decimal"/>
        <w:lvlText w:val="%1."/>
        <w:lvlJc w:val="left"/>
      </w:lvl>
    </w:lvlOverride>
  </w:num>
  <w:num w:numId="8" w16cid:durableId="356856865">
    <w:abstractNumId w:val="10"/>
    <w:lvlOverride w:ilvl="0">
      <w:lvl w:ilvl="0">
        <w:numFmt w:val="lowerLetter"/>
        <w:lvlText w:val="%1."/>
        <w:lvlJc w:val="left"/>
      </w:lvl>
    </w:lvlOverride>
  </w:num>
  <w:num w:numId="9" w16cid:durableId="803809478">
    <w:abstractNumId w:val="2"/>
    <w:lvlOverride w:ilvl="0">
      <w:lvl w:ilvl="0">
        <w:numFmt w:val="decimal"/>
        <w:lvlText w:val="%1."/>
        <w:lvlJc w:val="left"/>
      </w:lvl>
    </w:lvlOverride>
  </w:num>
  <w:num w:numId="10" w16cid:durableId="2438071">
    <w:abstractNumId w:val="4"/>
    <w:lvlOverride w:ilvl="0">
      <w:lvl w:ilvl="0">
        <w:numFmt w:val="decimal"/>
        <w:lvlText w:val="%1."/>
        <w:lvlJc w:val="left"/>
      </w:lvl>
    </w:lvlOverride>
  </w:num>
  <w:num w:numId="11" w16cid:durableId="882325095">
    <w:abstractNumId w:val="7"/>
  </w:num>
  <w:num w:numId="12" w16cid:durableId="2411792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2B1"/>
    <w:rsid w:val="00047BFC"/>
    <w:rsid w:val="000F04CE"/>
    <w:rsid w:val="0013403E"/>
    <w:rsid w:val="00270840"/>
    <w:rsid w:val="002B783B"/>
    <w:rsid w:val="002C3932"/>
    <w:rsid w:val="00404252"/>
    <w:rsid w:val="004F62B1"/>
    <w:rsid w:val="006C7782"/>
    <w:rsid w:val="00893946"/>
    <w:rsid w:val="0099187B"/>
    <w:rsid w:val="009D4659"/>
    <w:rsid w:val="00A311AF"/>
    <w:rsid w:val="00AC63B3"/>
    <w:rsid w:val="00BE2373"/>
    <w:rsid w:val="00CE46DD"/>
    <w:rsid w:val="00D906A5"/>
    <w:rsid w:val="00EA14DF"/>
    <w:rsid w:val="00EA186E"/>
    <w:rsid w:val="00ED2538"/>
    <w:rsid w:val="00EF7CAE"/>
    <w:rsid w:val="00F03056"/>
    <w:rsid w:val="00F051AA"/>
    <w:rsid w:val="00F4379E"/>
    <w:rsid w:val="00F725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3A9584"/>
  <w15:chartTrackingRefBased/>
  <w15:docId w15:val="{797CCFEA-6500-4FAA-9635-0ED0D88A9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F62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6829371">
      <w:bodyDiv w:val="1"/>
      <w:marLeft w:val="0"/>
      <w:marRight w:val="0"/>
      <w:marTop w:val="0"/>
      <w:marBottom w:val="0"/>
      <w:divBdr>
        <w:top w:val="none" w:sz="0" w:space="0" w:color="auto"/>
        <w:left w:val="none" w:sz="0" w:space="0" w:color="auto"/>
        <w:bottom w:val="none" w:sz="0" w:space="0" w:color="auto"/>
        <w:right w:val="none" w:sz="0" w:space="0" w:color="auto"/>
      </w:divBdr>
    </w:div>
    <w:div w:id="194950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Session 8</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8</dc:title>
  <dc:subject/>
  <dc:creator>Paul Lee</dc:creator>
  <cp:keywords/>
  <dc:description/>
  <cp:lastModifiedBy>Eric Tom</cp:lastModifiedBy>
  <cp:revision>4</cp:revision>
  <dcterms:created xsi:type="dcterms:W3CDTF">2024-10-01T00:13:00Z</dcterms:created>
  <dcterms:modified xsi:type="dcterms:W3CDTF">2024-10-03T16:32:00Z</dcterms:modified>
</cp:coreProperties>
</file>